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233E73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Jordan Lee Services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Independent Consultant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233E73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JL-2026-014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PARTIALLY PAID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F2F5FA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2A47"/>
                <w:sz w:val="15"/>
              </w:rPr>
              <w:t>440 Grant Street, Denver, CO 80203  |  +1 (720) 555-0139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2A47"/>
                <w:sz w:val="15"/>
              </w:rPr>
              <w:t>jordan@jordanlee.example  |  jordanlee.example  |  Tax ID JL-2026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F2F5FA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82A47"/>
                <w:sz w:val="15"/>
              </w:rPr>
              <w:t>Issued: 2026-08-16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2A47"/>
                <w:sz w:val="15"/>
              </w:rPr>
              <w:t>Due: 2026-08-30  |  Terms: Balance due within 14 days by ACH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233E73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82A47"/>
                <w:sz w:val="20"/>
              </w:rPr>
              <w:t>Summit Trail Goods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2A47"/>
                <w:sz w:val="16"/>
              </w:rPr>
              <w:t>Attn: Casey Rivera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2A47"/>
                <w:sz w:val="16"/>
              </w:rPr>
              <w:t>1260 Market Street, Denver, CO 80202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2A47"/>
                <w:sz w:val="16"/>
              </w:rPr>
              <w:t>finance@summittrail.example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233E73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82A47"/>
                <w:sz w:val="20"/>
              </w:rPr>
              <w:t>Operations consulting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2A47"/>
                <w:sz w:val="16"/>
              </w:rPr>
              <w:t>Reference: STG-OPS-26  |  Independent services agreement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2A47"/>
                <w:sz w:val="16"/>
              </w:rPr>
              <w:t>Site: Remote and client office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2A47"/>
                <w:sz w:val="16"/>
              </w:rPr>
              <w:t>August 1-14,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3E73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3E73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3E73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3E73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3E73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233E73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82A47"/>
                <w:sz w:val="15"/>
              </w:rPr>
              <w:t>CONS-12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82A47"/>
                <w:sz w:val="15"/>
              </w:rPr>
              <w:t>Operations consulting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82A47"/>
                <w:sz w:val="13"/>
              </w:rPr>
              <w:t>Process review and implementation support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2A47"/>
                <w:sz w:val="15"/>
              </w:rPr>
              <w:t>12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2A47"/>
                <w:sz w:val="15"/>
              </w:rPr>
              <w:t>hours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2A47"/>
                <w:sz w:val="15"/>
              </w:rPr>
              <w:t>$140.00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82A47"/>
                <w:sz w:val="15"/>
              </w:rPr>
              <w:t>$1,680.00</w:t>
            </w:r>
          </w:p>
        </w:tc>
      </w:tr>
      <w:tr>
        <w:trPr>
          <w:cantSplit/>
        </w:trPr>
        <w:tc>
          <w:tcPr>
            <w:tcW w:type="dxa" w:w="1752"/>
            <w:shd w:fill="F2F5FA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82A47"/>
                <w:sz w:val="15"/>
              </w:rPr>
              <w:t>REP-01</w:t>
            </w:r>
          </w:p>
        </w:tc>
        <w:tc>
          <w:tcPr>
            <w:tcW w:type="dxa" w:w="1752"/>
            <w:shd w:fill="F2F5FA"/>
          </w:tcPr>
          <w:p>
            <w:pPr>
              <w:jc w:val="left"/>
            </w:pPr>
            <w:r>
              <w:rPr>
                <w:rFonts w:ascii="Arial" w:hAnsi="Arial"/>
                <w:b/>
                <w:color w:val="182A47"/>
                <w:sz w:val="15"/>
              </w:rPr>
              <w:t>Written recommendations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82A47"/>
                <w:sz w:val="13"/>
              </w:rPr>
              <w:t>Final action plan and supporting notes</w:t>
            </w:r>
          </w:p>
        </w:tc>
        <w:tc>
          <w:tcPr>
            <w:tcW w:type="dxa" w:w="1752"/>
            <w:shd w:fill="F2F5FA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2A47"/>
                <w:sz w:val="15"/>
              </w:rPr>
              <w:t>1</w:t>
            </w:r>
          </w:p>
        </w:tc>
        <w:tc>
          <w:tcPr>
            <w:tcW w:type="dxa" w:w="1752"/>
            <w:shd w:fill="F2F5FA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2A47"/>
                <w:sz w:val="15"/>
              </w:rPr>
              <w:t>project</w:t>
            </w:r>
          </w:p>
        </w:tc>
        <w:tc>
          <w:tcPr>
            <w:tcW w:type="dxa" w:w="1752"/>
            <w:shd w:fill="F2F5FA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2A47"/>
                <w:sz w:val="15"/>
              </w:rPr>
              <w:t>$450.00</w:t>
            </w:r>
          </w:p>
        </w:tc>
        <w:tc>
          <w:tcPr>
            <w:tcW w:type="dxa" w:w="1752"/>
            <w:shd w:fill="F2F5FA"/>
          </w:tcPr>
          <w:p>
            <w:pPr>
              <w:jc w:val="right"/>
            </w:pPr>
            <w:r>
              <w:rPr>
                <w:rFonts w:ascii="Arial" w:hAnsi="Arial"/>
                <w:b/>
                <w:color w:val="182A47"/>
                <w:sz w:val="15"/>
              </w:rPr>
              <w:t>$450.00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82A47"/>
                <w:sz w:val="15"/>
              </w:rPr>
              <w:t>EXP-02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82A47"/>
                <w:sz w:val="15"/>
              </w:rPr>
              <w:t>Approved travel expense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82A47"/>
                <w:sz w:val="13"/>
              </w:rPr>
              <w:t>Documented local travel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2A47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2A47"/>
                <w:sz w:val="15"/>
              </w:rPr>
              <w:t>expense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82A47"/>
                <w:sz w:val="15"/>
              </w:rPr>
              <w:t>$86.00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82A47"/>
                <w:sz w:val="15"/>
              </w:rPr>
              <w:t>$86.00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F2F5FA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233E73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82A47"/>
                <w:sz w:val="14"/>
              </w:rPr>
              <w:t>Services were completed under the independent services agreement. Supporting expense records are available.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233E73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82A47"/>
                <w:sz w:val="14"/>
              </w:rPr>
              <w:t>Balance due within 14 days by ACH. This invoice records business charges only and does not determine employment or tax status.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F2F5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82A47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F2F5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82A47"/>
                      <w:sz w:val="17"/>
                    </w:rPr>
                    <w:t>$2,216.00</w:t>
                  </w:r>
                </w:p>
              </w:tc>
            </w:tr>
            <w:tr>
              <w:tc>
                <w:tcPr>
                  <w:tcW w:type="dxa" w:w="1348740"/>
                  <w:shd w:fill="F2F5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82A47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F2F5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82A47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2F5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82A47"/>
                      <w:sz w:val="15"/>
                    </w:rPr>
                    <w:t>Tax (0%)</w:t>
                  </w:r>
                </w:p>
              </w:tc>
              <w:tc>
                <w:tcPr>
                  <w:tcW w:type="dxa" w:w="1348740"/>
                  <w:shd w:fill="F2F5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82A47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2F5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82A47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F2F5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82A47"/>
                      <w:sz w:val="17"/>
                    </w:rPr>
                    <w:t>$2,216.00</w:t>
                  </w:r>
                </w:p>
              </w:tc>
            </w:tr>
            <w:tr>
              <w:tc>
                <w:tcPr>
                  <w:tcW w:type="dxa" w:w="1348740"/>
                  <w:shd w:fill="F2F5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82A47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F2F5FA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82A47"/>
                      <w:sz w:val="17"/>
                    </w:rPr>
                    <w:t>$-600.00</w:t>
                  </w:r>
                </w:p>
              </w:tc>
            </w:tr>
            <w:tr>
              <w:tc>
                <w:tcPr>
                  <w:tcW w:type="dxa" w:w="1348740"/>
                  <w:shd w:fill="233E7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233E7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$1,616.00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233E73"/>
          <w:sz w:val="14"/>
        </w:rPr>
        <w:t xml:space="preserve">PAYMENT DETAILS  </w:t>
      </w:r>
      <w:r>
        <w:rPr>
          <w:rFonts w:ascii="Arial" w:hAnsi="Arial"/>
          <w:b w:val="0"/>
          <w:color w:val="182A47"/>
          <w:sz w:val="15"/>
        </w:rPr>
        <w:t>ACH transfer - reference the invoice number</w:t>
      </w:r>
      <w:r>
        <w:t xml:space="preserve">          </w:t>
      </w:r>
      <w:r>
        <w:rPr>
          <w:rFonts w:ascii="Arial" w:hAnsi="Arial"/>
          <w:b w:val="0"/>
          <w:color w:val="182A47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82A4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Self-Employed Invoice Template</dc:title>
  <dc:subject>Editable Professional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