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343400"/>
            <w:vAlign w:val="center"/>
            <w:tcMar>
              <w:top w:w="150" w:type="dxa"/>
              <w:start w:w="170" w:type="dxa"/>
              <w:bottom w:w="140" w:type="dxa"/>
              <w:end w:w="120" w:type="dxa"/>
            </w:tcMar>
            <w:shd w:fill="746654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FFFFFF"/>
                <w:sz w:val="36"/>
              </w:rPr>
              <w:t>Northline Advisory LLC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FFFFFF"/>
                <w:sz w:val="16"/>
              </w:rPr>
              <w:t>Operations and Strategy Consulting</w:t>
            </w:r>
          </w:p>
        </w:tc>
        <w:tc>
          <w:tcPr>
            <w:tcW w:type="dxa" w:w="2240280"/>
            <w:vAlign w:val="center"/>
            <w:tcMar>
              <w:top w:w="150" w:type="dxa"/>
              <w:start w:w="120" w:type="dxa"/>
              <w:bottom w:w="140" w:type="dxa"/>
              <w:end w:w="170" w:type="dxa"/>
            </w:tcMar>
            <w:shd w:fill="7466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INVOICE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30"/>
              </w:rPr>
              <w:t>NA-2026-032</w:t>
            </w:r>
          </w:p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5"/>
              </w:rPr>
              <w:t>MILESTONE BILLED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4023360"/>
            <w:vAlign w:val="center"/>
            <w:tcMar>
              <w:top w:w="110" w:type="dxa"/>
              <w:start w:w="150" w:type="dxa"/>
              <w:bottom w:w="100" w:type="dxa"/>
              <w:end w:w="100" w:type="dxa"/>
            </w:tcMar>
            <w:shd w:fill="FAF7F1"/>
          </w:tcPr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5"/>
              </w:rPr>
              <w:t>125 Summer Street, Boston, MA 02110  |  +1 (617) 555-0136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5"/>
              </w:rPr>
              <w:t>billing@northlineadvisory.example  |  northlineadvisory.example  |  EIN 41-2098765</w:t>
            </w:r>
          </w:p>
        </w:tc>
        <w:tc>
          <w:tcPr>
            <w:tcW w:type="dxa" w:w="2560320"/>
            <w:vAlign w:val="center"/>
            <w:tcMar>
              <w:top w:w="110" w:type="dxa"/>
              <w:start w:w="100" w:type="dxa"/>
              <w:bottom w:w="100" w:type="dxa"/>
              <w:end w:w="150" w:type="dxa"/>
            </w:tcMar>
            <w:shd w:fill="FAF7F1"/>
          </w:tcPr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6221D"/>
                <w:sz w:val="15"/>
              </w:rPr>
              <w:t>Issued: 2026-08-05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5"/>
              </w:rPr>
              <w:t>Due: 2026-08-20  |  Terms: Payment is due within 15 days by ACH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0632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746654"/>
                <w:sz w:val="14"/>
              </w:rPr>
              <w:t>BILL TO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6221D"/>
                <w:sz w:val="20"/>
              </w:rPr>
              <w:t>Harborline Foods Inc.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6"/>
              </w:rPr>
              <w:t>Attn: Casey Morgan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6"/>
              </w:rPr>
              <w:t>42 Seaport Lane, Boston, MA 02210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6"/>
              </w:rPr>
              <w:t>finance@harborlinefoods.example</w:t>
            </w:r>
          </w:p>
        </w:tc>
        <w:tc>
          <w:tcPr>
            <w:tcW w:type="dxa" w:w="352044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746654"/>
                <w:sz w:val="14"/>
              </w:rPr>
              <w:t>PROJECT / SERVICE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/>
                <w:color w:val="26221D"/>
                <w:sz w:val="20"/>
              </w:rPr>
              <w:t>Operations Review - Phase 2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6"/>
              </w:rPr>
              <w:t>Reference: HFI-OPS-26-02  |  MSA dated 2026-05-18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6"/>
              </w:rPr>
              <w:t>Site: Hybrid engagement - Boston and remote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6"/>
              </w:rPr>
              <w:t>July 1-31, 2026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52"/>
        <w:gridCol w:w="1752"/>
        <w:gridCol w:w="1752"/>
        <w:gridCol w:w="1752"/>
        <w:gridCol w:w="1752"/>
        <w:gridCol w:w="1752"/>
      </w:tblGrid>
      <w:tr>
        <w:trPr>
          <w:tblHeader w:val="true"/>
        </w:trPr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746654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CODE</w:t>
            </w:r>
          </w:p>
        </w:tc>
        <w:tc>
          <w:tcPr>
            <w:tcW w:type="dxa" w:w="2788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746654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4"/>
              </w:rPr>
              <w:t>DESCRIPTION</w:t>
            </w:r>
          </w:p>
        </w:tc>
        <w:tc>
          <w:tcPr>
            <w:tcW w:type="dxa" w:w="50292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7466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QTY</w:t>
            </w:r>
          </w:p>
        </w:tc>
        <w:tc>
          <w:tcPr>
            <w:tcW w:type="dxa" w:w="5943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7466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UNIT</w:t>
            </w:r>
          </w:p>
        </w:tc>
        <w:tc>
          <w:tcPr>
            <w:tcW w:type="dxa" w:w="91440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7466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RATE</w:t>
            </w:r>
          </w:p>
        </w:tc>
        <w:tc>
          <w:tcPr>
            <w:tcW w:type="dxa" w:w="105156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746654"/>
          </w:tcPr>
          <w:p>
            <w:pPr>
              <w:jc w:val="right"/>
            </w:pPr>
            <w:r>
              <w:rPr>
                <w:rFonts w:ascii="Arial" w:hAnsi="Arial"/>
                <w:b/>
                <w:color w:val="FFFFFF"/>
                <w:sz w:val="14"/>
              </w:rPr>
              <w:t>AMOUNT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6221D"/>
                <w:sz w:val="15"/>
              </w:rPr>
              <w:t>WS-01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6221D"/>
                <w:sz w:val="15"/>
              </w:rPr>
              <w:t>Leadership discovery workshop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6221D"/>
                <w:sz w:val="13"/>
              </w:rPr>
              <w:t>Facilitated session and documented decision log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session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$1,800.00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6221D"/>
                <w:sz w:val="15"/>
              </w:rPr>
              <w:t>$1,800.00</w:t>
            </w:r>
          </w:p>
        </w:tc>
      </w:tr>
      <w:tr>
        <w:trPr>
          <w:cantSplit/>
        </w:trPr>
        <w:tc>
          <w:tcPr>
            <w:tcW w:type="dxa" w:w="1752"/>
            <w:shd w:fill="FAF7F1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6221D"/>
                <w:sz w:val="15"/>
              </w:rPr>
              <w:t>AN-18</w:t>
            </w:r>
          </w:p>
        </w:tc>
        <w:tc>
          <w:tcPr>
            <w:tcW w:type="dxa" w:w="1752"/>
            <w:shd w:fill="FAF7F1"/>
          </w:tcPr>
          <w:p>
            <w:pPr>
              <w:jc w:val="left"/>
            </w:pPr>
            <w:r>
              <w:rPr>
                <w:rFonts w:ascii="Arial" w:hAnsi="Arial"/>
                <w:b/>
                <w:color w:val="26221D"/>
                <w:sz w:val="15"/>
              </w:rPr>
              <w:t>Operational analysis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6221D"/>
                <w:sz w:val="13"/>
              </w:rPr>
              <w:t>Process review, interviews and findings synthesis</w:t>
            </w:r>
          </w:p>
        </w:tc>
        <w:tc>
          <w:tcPr>
            <w:tcW w:type="dxa" w:w="1752"/>
            <w:shd w:fill="FAF7F1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18</w:t>
            </w:r>
          </w:p>
        </w:tc>
        <w:tc>
          <w:tcPr>
            <w:tcW w:type="dxa" w:w="1752"/>
            <w:shd w:fill="FAF7F1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hours</w:t>
            </w:r>
          </w:p>
        </w:tc>
        <w:tc>
          <w:tcPr>
            <w:tcW w:type="dxa" w:w="1752"/>
            <w:shd w:fill="FAF7F1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$175.00</w:t>
            </w:r>
          </w:p>
        </w:tc>
        <w:tc>
          <w:tcPr>
            <w:tcW w:type="dxa" w:w="1752"/>
            <w:shd w:fill="FAF7F1"/>
          </w:tcPr>
          <w:p>
            <w:pPr>
              <w:jc w:val="right"/>
            </w:pPr>
            <w:r>
              <w:rPr>
                <w:rFonts w:ascii="Arial" w:hAnsi="Arial"/>
                <w:b/>
                <w:color w:val="26221D"/>
                <w:sz w:val="15"/>
              </w:rPr>
              <w:t>$3,150.00</w:t>
            </w:r>
          </w:p>
        </w:tc>
      </w:tr>
      <w:tr>
        <w:trPr>
          <w:cantSplit/>
        </w:trPr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 w:val="0"/>
                <w:color w:val="26221D"/>
                <w:sz w:val="15"/>
              </w:rPr>
              <w:t>RM-01</w:t>
            </w:r>
          </w:p>
        </w:tc>
        <w:tc>
          <w:tcPr>
            <w:tcW w:type="dxa" w:w="1752"/>
            <w:shd w:fill="FFFFFF"/>
          </w:tcPr>
          <w:p>
            <w:pPr>
              <w:jc w:val="left"/>
            </w:pPr>
            <w:r>
              <w:rPr>
                <w:rFonts w:ascii="Arial" w:hAnsi="Arial"/>
                <w:b/>
                <w:color w:val="26221D"/>
                <w:sz w:val="15"/>
              </w:rPr>
              <w:t>Implementation roadmap</w:t>
            </w:r>
          </w:p>
          <w:p>
            <w:pPr>
              <w:spacing w:before="20"/>
            </w:pPr>
            <w:r>
              <w:rPr>
                <w:rFonts w:ascii="Arial" w:hAnsi="Arial"/>
                <w:b w:val="0"/>
                <w:color w:val="26221D"/>
                <w:sz w:val="13"/>
              </w:rPr>
              <w:t>Prioritized 90-day plan with owners and measures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1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deliverable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 w:val="0"/>
                <w:color w:val="26221D"/>
                <w:sz w:val="15"/>
              </w:rPr>
              <w:t>$2,200.00</w:t>
            </w:r>
          </w:p>
        </w:tc>
        <w:tc>
          <w:tcPr>
            <w:tcW w:type="dxa" w:w="1752"/>
            <w:shd w:fill="FFFFFF"/>
          </w:tcPr>
          <w:p>
            <w:pPr>
              <w:jc w:val="right"/>
            </w:pPr>
            <w:r>
              <w:rPr>
                <w:rFonts w:ascii="Arial" w:hAnsi="Arial"/>
                <w:b/>
                <w:color w:val="26221D"/>
                <w:sz w:val="15"/>
              </w:rPr>
              <w:t>$2,200.00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256"/>
        <w:gridCol w:w="5256"/>
      </w:tblGrid>
      <w:tr>
        <w:tc>
          <w:tcPr>
            <w:tcW w:type="dxa" w:w="3886200"/>
            <w:vAlign w:val="center"/>
            <w:tcMar>
              <w:top w:w="115" w:type="dxa"/>
              <w:start w:w="130" w:type="dxa"/>
              <w:bottom w:w="110" w:type="dxa"/>
              <w:end w:w="130" w:type="dxa"/>
            </w:tcMar>
            <w:shd w:fill="FAF7F1"/>
          </w:tcPr>
          <w:p>
            <w:pPr>
              <w:spacing w:after="80" w:line="240" w:lineRule="auto"/>
            </w:pPr>
            <w:r>
              <w:rPr>
                <w:rFonts w:ascii="Arial" w:hAnsi="Arial"/>
                <w:b/>
                <w:color w:val="746654"/>
                <w:sz w:val="14"/>
              </w:rPr>
              <w:t>NOTES</w:t>
            </w:r>
          </w:p>
          <w:p>
            <w:pPr>
              <w:spacing w:after="100" w:line="240" w:lineRule="auto"/>
            </w:pPr>
            <w:r>
              <w:rPr>
                <w:rFonts w:ascii="Arial" w:hAnsi="Arial"/>
                <w:b w:val="0"/>
                <w:color w:val="26221D"/>
                <w:sz w:val="14"/>
              </w:rPr>
              <w:t>This invoice covers the Phase 2 milestone accepted on August 4, 2026. Supporting time records and the delivery log are available with the project file.</w:t>
            </w:r>
          </w:p>
          <w:p>
            <w:pPr>
              <w:spacing w:after="60" w:line="240" w:lineRule="auto"/>
            </w:pPr>
            <w:r>
              <w:rPr>
                <w:rFonts w:ascii="Arial" w:hAnsi="Arial"/>
                <w:b/>
                <w:color w:val="746654"/>
                <w:sz w:val="14"/>
              </w:rPr>
              <w:t>PAYMENT TERMS</w:t>
            </w:r>
          </w:p>
          <w:p>
            <w:pPr>
              <w:spacing w:after="20" w:line="240" w:lineRule="auto"/>
            </w:pPr>
            <w:r>
              <w:rPr>
                <w:rFonts w:ascii="Arial" w:hAnsi="Arial"/>
                <w:b w:val="0"/>
                <w:color w:val="26221D"/>
                <w:sz w:val="14"/>
              </w:rPr>
              <w:t>Payment is due within 15 days by ACH. Reference the invoice and engagement numbers. Scope changes require written approval under the master services agreement.</w:t>
            </w:r>
          </w:p>
        </w:tc>
        <w:tc>
          <w:tcPr>
            <w:tcW w:type="dxa" w:w="2697480"/>
            <w:vAlign w:val="center"/>
            <w:tcMar>
              <w:top w:w="75" w:type="dxa"/>
              <w:start w:w="90" w:type="dxa"/>
              <w:bottom w:w="75" w:type="dxa"/>
              <w:end w:w="90" w:type="dxa"/>
            </w:tcMar>
            <w:shd w:fill="FFFFFF"/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348740"/>
              <w:gridCol w:w="1348740"/>
            </w:tblGrid>
            <w:tr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6221D"/>
                      <w:sz w:val="15"/>
                    </w:rPr>
                    <w:t>Subtotal</w:t>
                  </w:r>
                </w:p>
              </w:tc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6221D"/>
                      <w:sz w:val="17"/>
                    </w:rPr>
                    <w:t>$7,150.00</w:t>
                  </w:r>
                </w:p>
              </w:tc>
            </w:tr>
            <w:tr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6221D"/>
                      <w:sz w:val="15"/>
                    </w:rPr>
                    <w:t>Discount</w:t>
                  </w:r>
                </w:p>
              </w:tc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6221D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 w:val="0"/>
                      <w:color w:val="26221D"/>
                      <w:sz w:val="15"/>
                    </w:rPr>
                    <w:t>Tax (0%)</w:t>
                  </w:r>
                </w:p>
              </w:tc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 w:val="0"/>
                      <w:color w:val="26221D"/>
                      <w:sz w:val="17"/>
                    </w:rPr>
                    <w:t>$0.00</w:t>
                  </w:r>
                </w:p>
              </w:tc>
            </w:tr>
            <w:tr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6221D"/>
                      <w:sz w:val="15"/>
                    </w:rPr>
                    <w:t>Total</w:t>
                  </w:r>
                </w:p>
              </w:tc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6221D"/>
                      <w:sz w:val="17"/>
                    </w:rPr>
                    <w:t>$7,150.00</w:t>
                  </w:r>
                </w:p>
              </w:tc>
            </w:tr>
            <w:tr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26221D"/>
                      <w:sz w:val="15"/>
                    </w:rPr>
                    <w:t>Paid</w:t>
                  </w:r>
                </w:p>
              </w:tc>
              <w:tc>
                <w:tcPr>
                  <w:tcW w:type="dxa" w:w="1348740"/>
                  <w:shd w:fill="FAF7F1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26221D"/>
                      <w:sz w:val="17"/>
                    </w:rPr>
                    <w:t>$-1,800.00</w:t>
                  </w:r>
                </w:p>
              </w:tc>
            </w:tr>
            <w:tr>
              <w:tc>
                <w:tcPr>
                  <w:tcW w:type="dxa" w:w="1348740"/>
                  <w:shd w:fill="746654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r>
                    <w:rPr>
                      <w:rFonts w:ascii="Arial" w:hAnsi="Arial"/>
                      <w:b/>
                      <w:color w:val="FFFFFF"/>
                      <w:sz w:val="15"/>
                    </w:rPr>
                    <w:t>BALANCE DUE</w:t>
                  </w:r>
                </w:p>
              </w:tc>
              <w:tc>
                <w:tcPr>
                  <w:tcW w:type="dxa" w:w="1348740"/>
                  <w:shd w:fill="746654"/>
                  <w:tcMar>
                    <w:top w:w="85" w:type="dxa"/>
                    <w:start w:w="90" w:type="dxa"/>
                    <w:bottom w:w="85" w:type="dxa"/>
                    <w:end w:w="90" w:type="dxa"/>
                  </w:tcMar>
                </w:tcPr>
                <w:p>
                  <w:pPr>
                    <w:jc w:val="right"/>
                  </w:pPr>
                  <w:r>
                    <w:rPr>
                      <w:rFonts w:ascii="Arial" w:hAnsi="Arial"/>
                      <w:b/>
                      <w:color w:val="FFFFFF"/>
                      <w:sz w:val="22"/>
                    </w:rPr>
                    <w:t>$5,350.00</w:t>
                  </w:r>
                </w:p>
              </w:tc>
            </w:tr>
          </w:tbl>
          <w:p/>
        </w:tc>
      </w:tr>
    </w:tbl>
    <w:p>
      <w:pPr>
        <w:spacing w:before="120" w:after="0"/>
      </w:pPr>
      <w:r>
        <w:rPr>
          <w:rFonts w:ascii="Arial" w:hAnsi="Arial"/>
          <w:b/>
          <w:color w:val="746654"/>
          <w:sz w:val="14"/>
        </w:rPr>
        <w:t xml:space="preserve">PAYMENT DETAILS  </w:t>
      </w:r>
      <w:r>
        <w:rPr>
          <w:rFonts w:ascii="Arial" w:hAnsi="Arial"/>
          <w:b w:val="0"/>
          <w:color w:val="26221D"/>
          <w:sz w:val="15"/>
        </w:rPr>
        <w:t>ACH transfer - remittance details on file</w:t>
      </w:r>
      <w:r>
        <w:t xml:space="preserve">          </w:t>
      </w:r>
      <w:r>
        <w:rPr>
          <w:rFonts w:ascii="Arial" w:hAnsi="Arial"/>
          <w:b w:val="0"/>
          <w:color w:val="26221D"/>
          <w:sz w:val="13"/>
        </w:rPr>
        <w:t>Invoice created with the Pocket Invoice editable template.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color w:val="26221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Consulting Invoice Template</dc:title>
  <dc:subject>Editable Elegant Minimal invoice template</dc:subject>
  <dc:creator>Pocket Invoice</dc:creator>
  <cp:keywords>invoice, template, Word, editable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